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1093</w:t>
              <w:br/>
              <w:t xml:space="preserve">"Об утверждении федерального государственного образовательного стандарта высшего образования по специальности 31.08.50 Физиотерапия (уровень подготовки кадров высшей квалификации)"</w:t>
              <w:br/>
              <w:t xml:space="preserve">(Зарегистрировано в Минюсте России 27.10.2014 N 34458)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jc w:val="both"/>
      </w:pPr>
      <w:r>
        <w:rPr>
          <w:sz w:val="24"/>
        </w:rPr>
        <w:t xml:space="preserve">Зарегистрировано в Минюсте России 27 октября 2014 г. N 34458</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1093</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31.08.50 ФИЗИОТЕРАПИЯ</w:t>
      </w:r>
    </w:p>
    <w:p>
      <w:pPr>
        <w:pStyle w:val="2"/>
        <w:jc w:val="center"/>
      </w:pPr>
      <w:r>
        <w:rPr>
          <w:sz w:val="24"/>
        </w:rPr>
        <w:t xml:space="preserve">(УРОВЕНЬ ПОДГОТОВКИ 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31.08.50 Физиотерапия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1093</w:t>
      </w:r>
    </w:p>
    <w:p>
      <w:pPr>
        <w:pStyle w:val="0"/>
        <w:jc w:val="both"/>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31.08.50 ФИЗИОТЕРАПИЯ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31.08.50 Физиотерапия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классификацией</w:t>
        </w:r>
      </w:hyperlink>
      <w:r>
        <w:rPr>
          <w:sz w:val="24"/>
        </w:rPr>
        <w:t xml:space="preserve">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оказании медицинской помощи с применением физиотерапевтических методов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физиотерапевтических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"Врач-физиотерапевт".</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8"/>
        <w:gridCol w:w="4944"/>
        <w:gridCol w:w="3134"/>
      </w:tblGrid>
      <w:tr>
        <w:tc>
          <w:tcPr>
            <w:gridSpan w:val="2"/>
            <w:tcW w:w="6432" w:type="dxa"/>
          </w:tcPr>
          <w:p>
            <w:pPr>
              <w:pStyle w:val="0"/>
              <w:jc w:val="center"/>
            </w:pPr>
            <w:r>
              <w:rPr>
                <w:sz w:val="24"/>
              </w:rPr>
              <w:t xml:space="preserve">Структура программы ординатуры</w:t>
            </w:r>
          </w:p>
        </w:tc>
        <w:tc>
          <w:tcPr>
            <w:tcW w:w="3134" w:type="dxa"/>
          </w:tcPr>
          <w:p>
            <w:pPr>
              <w:pStyle w:val="0"/>
              <w:jc w:val="center"/>
            </w:pPr>
            <w:r>
              <w:rPr>
                <w:sz w:val="24"/>
              </w:rPr>
              <w:t xml:space="preserve">Объем программы ординатуры в з.е.</w:t>
            </w:r>
          </w:p>
        </w:tc>
      </w:tr>
      <w:tr>
        <w:tc>
          <w:tcPr>
            <w:tcW w:w="1488" w:type="dxa"/>
          </w:tcPr>
          <w:p>
            <w:pPr>
              <w:pStyle w:val="0"/>
            </w:pPr>
            <w:r>
              <w:rPr>
                <w:sz w:val="24"/>
              </w:rPr>
              <w:t xml:space="preserve">Блок 1</w:t>
            </w:r>
          </w:p>
        </w:tc>
        <w:tc>
          <w:tcPr>
            <w:tcW w:w="4944" w:type="dxa"/>
          </w:tcPr>
          <w:p>
            <w:pPr>
              <w:pStyle w:val="0"/>
            </w:pPr>
            <w:r>
              <w:rPr>
                <w:sz w:val="24"/>
              </w:rPr>
              <w:t xml:space="preserve">Дисциплины (модули)</w:t>
            </w:r>
          </w:p>
        </w:tc>
        <w:tc>
          <w:tcPr>
            <w:tcW w:w="3134" w:type="dxa"/>
          </w:tcPr>
          <w:p>
            <w:pPr>
              <w:pStyle w:val="0"/>
              <w:jc w:val="center"/>
            </w:pPr>
            <w:r>
              <w:rPr>
                <w:sz w:val="24"/>
              </w:rPr>
              <w:t xml:space="preserve">42 - 48</w:t>
            </w:r>
          </w:p>
        </w:tc>
      </w:tr>
      <w:tr>
        <w:tc>
          <w:tcPr>
            <w:tcW w:w="1488" w:type="dxa"/>
            <w:vMerge w:val="restart"/>
          </w:tcPr>
          <w:p>
            <w:pPr>
              <w:pStyle w:val="0"/>
            </w:pPr>
            <w:r>
              <w:rPr>
                <w:sz w:val="24"/>
              </w:rPr>
            </w:r>
          </w:p>
        </w:tc>
        <w:tc>
          <w:tcPr>
            <w:tcW w:w="4944" w:type="dxa"/>
          </w:tcPr>
          <w:p>
            <w:pPr>
              <w:pStyle w:val="0"/>
            </w:pPr>
            <w:r>
              <w:rPr>
                <w:sz w:val="24"/>
              </w:rPr>
              <w:t xml:space="preserve">Базовая часть</w:t>
            </w:r>
          </w:p>
        </w:tc>
        <w:tc>
          <w:tcPr>
            <w:tcW w:w="3134" w:type="dxa"/>
          </w:tcPr>
          <w:p>
            <w:pPr>
              <w:pStyle w:val="0"/>
              <w:jc w:val="center"/>
            </w:pPr>
            <w:r>
              <w:rPr>
                <w:sz w:val="24"/>
              </w:rPr>
              <w:t xml:space="preserve">33 - 39</w:t>
            </w:r>
          </w:p>
        </w:tc>
      </w:tr>
      <w:tr>
        <w:tc>
          <w:tcPr>
            <w:vMerge w:val="continue"/>
          </w:tcPr>
          <w:p/>
        </w:tc>
        <w:tc>
          <w:tcPr>
            <w:tcW w:w="4944" w:type="dxa"/>
          </w:tcPr>
          <w:p>
            <w:pPr>
              <w:pStyle w:val="0"/>
            </w:pPr>
            <w:r>
              <w:rPr>
                <w:sz w:val="24"/>
              </w:rPr>
              <w:t xml:space="preserve">Вариативная часть</w:t>
            </w:r>
          </w:p>
        </w:tc>
        <w:tc>
          <w:tcPr>
            <w:tcW w:w="3134" w:type="dxa"/>
          </w:tcPr>
          <w:p>
            <w:pPr>
              <w:pStyle w:val="0"/>
              <w:jc w:val="center"/>
            </w:pPr>
            <w:r>
              <w:rPr>
                <w:sz w:val="24"/>
              </w:rPr>
              <w:t xml:space="preserve">6 - 12</w:t>
            </w:r>
          </w:p>
        </w:tc>
      </w:tr>
      <w:tr>
        <w:tc>
          <w:tcPr>
            <w:tcW w:w="1488" w:type="dxa"/>
            <w:vMerge w:val="restart"/>
          </w:tcPr>
          <w:p>
            <w:pPr>
              <w:pStyle w:val="0"/>
            </w:pPr>
            <w:r>
              <w:rPr>
                <w:sz w:val="24"/>
              </w:rPr>
              <w:t xml:space="preserve">Блок 2</w:t>
            </w:r>
          </w:p>
        </w:tc>
        <w:tc>
          <w:tcPr>
            <w:tcW w:w="4944" w:type="dxa"/>
          </w:tcPr>
          <w:p>
            <w:pPr>
              <w:pStyle w:val="0"/>
            </w:pPr>
            <w:r>
              <w:rPr>
                <w:sz w:val="24"/>
              </w:rPr>
              <w:t xml:space="preserve">Практики</w:t>
            </w:r>
          </w:p>
        </w:tc>
        <w:tc>
          <w:tcPr>
            <w:tcW w:w="3134" w:type="dxa"/>
          </w:tcPr>
          <w:p>
            <w:pPr>
              <w:pStyle w:val="0"/>
              <w:jc w:val="center"/>
            </w:pPr>
            <w:r>
              <w:rPr>
                <w:sz w:val="24"/>
              </w:rPr>
              <w:t xml:space="preserve">69 - 75</w:t>
            </w:r>
          </w:p>
        </w:tc>
      </w:tr>
      <w:tr>
        <w:tc>
          <w:tcPr>
            <w:vMerge w:val="continue"/>
          </w:tcPr>
          <w:p/>
        </w:tc>
        <w:tc>
          <w:tcPr>
            <w:tcW w:w="4944" w:type="dxa"/>
          </w:tcPr>
          <w:p>
            <w:pPr>
              <w:pStyle w:val="0"/>
            </w:pPr>
            <w:r>
              <w:rPr>
                <w:sz w:val="24"/>
              </w:rPr>
              <w:t xml:space="preserve">Базовая часть</w:t>
            </w:r>
          </w:p>
        </w:tc>
        <w:tc>
          <w:tcPr>
            <w:tcW w:w="3134" w:type="dxa"/>
          </w:tcPr>
          <w:p>
            <w:pPr>
              <w:pStyle w:val="0"/>
              <w:jc w:val="center"/>
            </w:pPr>
            <w:r>
              <w:rPr>
                <w:sz w:val="24"/>
              </w:rPr>
              <w:t xml:space="preserve">60 - 66</w:t>
            </w:r>
          </w:p>
        </w:tc>
      </w:tr>
      <w:tr>
        <w:tc>
          <w:tcPr>
            <w:vMerge w:val="continue"/>
          </w:tcPr>
          <w:p/>
        </w:tc>
        <w:tc>
          <w:tcPr>
            <w:tcW w:w="4944" w:type="dxa"/>
          </w:tcPr>
          <w:p>
            <w:pPr>
              <w:pStyle w:val="0"/>
            </w:pPr>
            <w:r>
              <w:rPr>
                <w:sz w:val="24"/>
              </w:rPr>
              <w:t xml:space="preserve">Вариативная часть</w:t>
            </w:r>
          </w:p>
        </w:tc>
        <w:tc>
          <w:tcPr>
            <w:tcW w:w="3134" w:type="dxa"/>
          </w:tcPr>
          <w:p>
            <w:pPr>
              <w:pStyle w:val="0"/>
              <w:jc w:val="center"/>
            </w:pPr>
            <w:r>
              <w:rPr>
                <w:sz w:val="24"/>
              </w:rPr>
              <w:t xml:space="preserve">6 - 12</w:t>
            </w:r>
          </w:p>
        </w:tc>
      </w:tr>
      <w:tr>
        <w:tc>
          <w:tcPr>
            <w:tcW w:w="1488" w:type="dxa"/>
            <w:vMerge w:val="restart"/>
          </w:tcPr>
          <w:p>
            <w:pPr>
              <w:pStyle w:val="0"/>
            </w:pPr>
            <w:r>
              <w:rPr>
                <w:sz w:val="24"/>
              </w:rPr>
              <w:t xml:space="preserve">Блок 3</w:t>
            </w:r>
          </w:p>
        </w:tc>
        <w:tc>
          <w:tcPr>
            <w:tcW w:w="4944" w:type="dxa"/>
          </w:tcPr>
          <w:p>
            <w:pPr>
              <w:pStyle w:val="0"/>
            </w:pPr>
            <w:r>
              <w:rPr>
                <w:sz w:val="24"/>
              </w:rPr>
              <w:t xml:space="preserve">Государственная итоговая аттестация</w:t>
            </w:r>
          </w:p>
        </w:tc>
        <w:tc>
          <w:tcPr>
            <w:tcW w:w="3134" w:type="dxa"/>
          </w:tcPr>
          <w:p>
            <w:pPr>
              <w:pStyle w:val="0"/>
              <w:jc w:val="center"/>
            </w:pPr>
            <w:r>
              <w:rPr>
                <w:sz w:val="24"/>
              </w:rPr>
              <w:t xml:space="preserve">3</w:t>
            </w:r>
          </w:p>
        </w:tc>
      </w:tr>
      <w:tr>
        <w:tc>
          <w:tcPr>
            <w:vMerge w:val="continue"/>
          </w:tcPr>
          <w:p/>
        </w:tc>
        <w:tc>
          <w:tcPr>
            <w:tcW w:w="4944" w:type="dxa"/>
          </w:tcPr>
          <w:p>
            <w:pPr>
              <w:pStyle w:val="0"/>
            </w:pPr>
            <w:r>
              <w:rPr>
                <w:sz w:val="24"/>
              </w:rPr>
              <w:t xml:space="preserve">Базовая часть</w:t>
            </w:r>
          </w:p>
        </w:tc>
        <w:tc>
          <w:tcPr>
            <w:tcW w:w="3134" w:type="dxa"/>
          </w:tcPr>
          <w:p>
            <w:pPr>
              <w:pStyle w:val="0"/>
              <w:jc w:val="center"/>
            </w:pPr>
            <w:r>
              <w:rPr>
                <w:sz w:val="24"/>
              </w:rPr>
              <w:t xml:space="preserve">3</w:t>
            </w:r>
          </w:p>
        </w:tc>
      </w:tr>
      <w:tr>
        <w:tc>
          <w:tcPr>
            <w:gridSpan w:val="2"/>
            <w:tcW w:w="6432" w:type="dxa"/>
          </w:tcPr>
          <w:p>
            <w:pPr>
              <w:pStyle w:val="0"/>
            </w:pPr>
            <w:r>
              <w:rPr>
                <w:sz w:val="24"/>
              </w:rPr>
              <w:t xml:space="preserve">Объем программы ординатуры</w:t>
            </w:r>
          </w:p>
        </w:tc>
        <w:tc>
          <w:tcPr>
            <w:tcW w:w="3134"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требованиями</w:t>
        </w:r>
      </w:hyperlink>
      <w:r>
        <w:rPr>
          <w:sz w:val="24"/>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аппарат для гальванизации и электрофореза с набором электродов, аппарат для лечения диадинамическими токами, аппарат для терапии синусоидальными модулированными токами, аппарат интерференцтерапии, аппарат флюктуоризации, аппараты комплексной электротерапии импульсными токами, аппарат для электродиагностики и электростимуляции, аппарат электростимуляции (в том числе многоканальные), аппарат чрескожной электронейростимуляции, аппарат низкочастотной электростатической терапии, аппарат инфитатерапии, аппарат местной дарсонвализации стационарный, аппарат местной дарсонвализации портативный, аппарат ультратонотерапии стационарный, аппарат ультратонотерапии портативный, аппарат магнитотерапии стационарный, аппарат магнитотерапии портативный, аппарат общей магнитотерапии, аппарат для ультравысокочастотной терапии стационарный, аппарат для ультравысокочастотной терапии портативный переносной, аппарат высокочастотной (индуктотермии), аппарат для сверхвысокочастотной терапии или аппарат для терапии сантиметровыми волнами портативный, аппарат для терапии дециметровыми волнами, аппарат крайне высокочастотной терапии, аппарат крайне высокочастотной физиопунктуры, лечебно-диагностический компьютеризированный комплекс для оценки функционального состояния организма и оптимизации физиотерапевтического лечения, аппарат ультразвуковой терапевтический, аппарат вибротерапии, аппарат лазерной терапии с набором излучателей и световодов, аппарат лазерной спектрофотометрии и биофотометрии, аппарат для локальных ультрафиолетовых облучений, аппарат для общих ультрафиолетовых облучений, облучатель бактерицидный передвижной, аппарат светотерапии, фотохромотерапии, аппарат инфракрасной терапии, аппарат общей инфракрасной терапии (ИК-сауна), ингалятор компрессорный стационарный, ингалятор ультразвуковой, галоингалятор индивидуальный, галокамера, спелеокамера, аэрофитогенератор, кислородный концентратор для приготовления кислородных коктейлей, аппарат для нормобарической гипокситерапии, аппарат озонотерапии, ванна бальнеологическая, ванна вихревая, четырехкамерная ванна с автоматической регулировкой температуры или без нее, аппарат для насыщения воды газом, компрессор для насыщения воды газом и решетки к нему (жемчужные ванны), ванна для "сухо-воздушных" углекислых ванн, ванна гидрогальваническая, ванна для подводного массажа, термометр для воды, кафедра водолечебная с душами (дождевой, циркулярный, восходящий, струевой, душ Виши, парафинонагреватель, кюветы для парафинолечения, кушетки для теплолечения с автоматическим подогревом, аппарат для подогрева нафталана, аппарат для подогрева грязи, стол массажный, кушетки физиотерапевтические, шкаф физиотерапевтический вытяжной, тумбочки физиотерапевтические, измеритель артериального давления, часы физиотерапевтические процедурные, аппарат для высокочастотной магнитотерапии (индуктотермии), аппарат для гальванизации и электрофореза, аппарат для ультратонотерапии, аппарат для лечения поляризованным светом, аппарат для кислородных коктейлей, аппарат для лечения интерференционными токами, аппарат для мезодиэнцефальной модуляции, аппарат для микроволновой СВЧ-терапии, аппарат для УВЧ-терапии, аппарат для динамической чрескожной электронейростимуляции, аппарат для лечения диадинамическими токами, аэрофитогенератор, аппарат для амплипульстерапии, парафинонагреватель)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7"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1093</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EXP&amp;n=731991&amp;date=28.04.2025" TargetMode = "External"/>
	<Relationship Id="rId12" Type="http://schemas.openxmlformats.org/officeDocument/2006/relationships/hyperlink" Target="https://login.consultant.ru/link/?req=doc&amp;base=LAW&amp;n=348537&amp;date=28.04.2025" TargetMode = "External"/>
	<Relationship Id="rId13" Type="http://schemas.openxmlformats.org/officeDocument/2006/relationships/hyperlink" Target="https://login.consultant.ru/link/?req=doc&amp;base=LAW&amp;n=483355&amp;date=28.04.2025" TargetMode = "External"/>
	<Relationship Id="rId14" Type="http://schemas.openxmlformats.org/officeDocument/2006/relationships/hyperlink" Target="https://login.consultant.ru/link/?req=doc&amp;base=LAW&amp;n=482686&amp;date=28.04.2025" TargetMode = "External"/>
	<Relationship Id="rId15" Type="http://schemas.openxmlformats.org/officeDocument/2006/relationships/hyperlink" Target="https://login.consultant.ru/link/?req=doc&amp;base=LAW&amp;n=128754&amp;date=28.04.2025&amp;dst=100009&amp;field=134" TargetMode = "External"/>
	<Relationship Id="rId16" Type="http://schemas.openxmlformats.org/officeDocument/2006/relationships/hyperlink" Target="https://login.consultant.ru/link/?req=doc&amp;base=LAW&amp;n=128754&amp;date=28.04.2025" TargetMode = "External"/>
	<Relationship Id="rId17"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1093
"Об утверждении федерального государственного образовательного стандарта высшего образования по специальности 31.08.50 Физиотерапия (уровень подготовки кадров высшей квалификации)"
(Зарегистрировано в Минюсте России 27.10.2014 N 34458)</dc:title>
  <dcterms:created xsi:type="dcterms:W3CDTF">2025-04-28T05:41:54Z</dcterms:created>
</cp:coreProperties>
</file>